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07A51" w14:textId="77777777" w:rsidR="001A1C28" w:rsidRDefault="00000000">
      <w:pPr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附件2</w:t>
      </w:r>
    </w:p>
    <w:p w14:paraId="17114407" w14:textId="77777777" w:rsidR="001A1C28" w:rsidRDefault="00000000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2022年度教职工年度考核</w:t>
      </w:r>
      <w:proofErr w:type="gramStart"/>
      <w:r>
        <w:rPr>
          <w:rFonts w:ascii="仿宋" w:eastAsia="仿宋" w:hAnsi="仿宋" w:cs="仿宋" w:hint="eastAsia"/>
          <w:b/>
          <w:bCs/>
          <w:sz w:val="32"/>
          <w:szCs w:val="32"/>
        </w:rPr>
        <w:t>表系统</w:t>
      </w:r>
      <w:proofErr w:type="gramEnd"/>
      <w:r>
        <w:rPr>
          <w:rFonts w:ascii="仿宋" w:eastAsia="仿宋" w:hAnsi="仿宋" w:cs="仿宋" w:hint="eastAsia"/>
          <w:b/>
          <w:bCs/>
          <w:sz w:val="32"/>
          <w:szCs w:val="32"/>
        </w:rPr>
        <w:t>填报说明</w:t>
      </w:r>
    </w:p>
    <w:p w14:paraId="0C6B88C7" w14:textId="77777777" w:rsidR="001A1C28" w:rsidRDefault="00000000">
      <w:pPr>
        <w:pStyle w:val="2"/>
        <w:numPr>
          <w:ilvl w:val="1"/>
          <w:numId w:val="0"/>
        </w:numPr>
        <w:snapToGrid w:val="0"/>
        <w:spacing w:after="0" w:line="44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1.填报前环境准备</w:t>
      </w:r>
    </w:p>
    <w:p w14:paraId="146AF1AB" w14:textId="77777777" w:rsidR="001A1C28" w:rsidRDefault="00000000">
      <w:pPr>
        <w:snapToGrid w:val="0"/>
        <w:spacing w:line="440" w:lineRule="exact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1.</w:t>
      </w:r>
      <w:r>
        <w:rPr>
          <w:rFonts w:ascii="仿宋_GB2312" w:eastAsia="仿宋_GB2312" w:hAnsi="仿宋_GB2312" w:cs="仿宋_GB2312"/>
          <w:sz w:val="28"/>
          <w:szCs w:val="36"/>
        </w:rPr>
        <w:t>1</w:t>
      </w:r>
      <w:r>
        <w:rPr>
          <w:rFonts w:ascii="仿宋_GB2312" w:eastAsia="仿宋_GB2312" w:hAnsi="仿宋_GB2312" w:cs="仿宋_GB2312" w:hint="eastAsia"/>
          <w:sz w:val="28"/>
          <w:szCs w:val="36"/>
        </w:rPr>
        <w:t>网络环境</w:t>
      </w:r>
    </w:p>
    <w:p w14:paraId="65C5E983" w14:textId="77777777" w:rsidR="001A1C28" w:rsidRDefault="00000000">
      <w:pPr>
        <w:snapToGrid w:val="0"/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目前，年度考核表的填报暂时仅开放学校内网访问；在校外的人员，可以通过学校VPN服务使用校内资源，访问系统进行报表填报。为了保证系统访问的流畅性，请大家尽量在学校</w:t>
      </w:r>
      <w:r>
        <w:rPr>
          <w:rFonts w:ascii="仿宋_GB2312" w:eastAsia="仿宋_GB2312" w:hAnsi="仿宋_GB2312" w:cs="仿宋_GB2312"/>
          <w:sz w:val="28"/>
          <w:szCs w:val="36"/>
        </w:rPr>
        <w:t>内</w:t>
      </w:r>
      <w:proofErr w:type="gramStart"/>
      <w:r>
        <w:rPr>
          <w:rFonts w:ascii="仿宋_GB2312" w:eastAsia="仿宋_GB2312" w:hAnsi="仿宋_GB2312" w:cs="仿宋_GB2312"/>
          <w:sz w:val="28"/>
          <w:szCs w:val="36"/>
        </w:rPr>
        <w:t>网</w:t>
      </w:r>
      <w:r>
        <w:rPr>
          <w:rFonts w:ascii="仿宋_GB2312" w:eastAsia="仿宋_GB2312" w:hAnsi="仿宋_GB2312" w:cs="仿宋_GB2312" w:hint="eastAsia"/>
          <w:sz w:val="28"/>
          <w:szCs w:val="36"/>
        </w:rPr>
        <w:t>环境</w:t>
      </w:r>
      <w:proofErr w:type="gramEnd"/>
      <w:r>
        <w:rPr>
          <w:rFonts w:ascii="仿宋_GB2312" w:eastAsia="仿宋_GB2312" w:hAnsi="仿宋_GB2312" w:cs="仿宋_GB2312" w:hint="eastAsia"/>
          <w:sz w:val="28"/>
          <w:szCs w:val="36"/>
        </w:rPr>
        <w:t>下填写信息。</w:t>
      </w:r>
    </w:p>
    <w:p w14:paraId="749C2FDC" w14:textId="77777777" w:rsidR="001A1C28" w:rsidRDefault="00000000">
      <w:pPr>
        <w:snapToGrid w:val="0"/>
        <w:spacing w:line="440" w:lineRule="exact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1.</w:t>
      </w:r>
      <w:r>
        <w:rPr>
          <w:rFonts w:ascii="仿宋_GB2312" w:eastAsia="仿宋_GB2312" w:hAnsi="仿宋_GB2312" w:cs="仿宋_GB2312"/>
          <w:sz w:val="28"/>
          <w:szCs w:val="36"/>
        </w:rPr>
        <w:t>2</w:t>
      </w:r>
      <w:r>
        <w:rPr>
          <w:rFonts w:ascii="仿宋_GB2312" w:eastAsia="仿宋_GB2312" w:hAnsi="仿宋_GB2312" w:cs="仿宋_GB2312" w:hint="eastAsia"/>
          <w:sz w:val="28"/>
          <w:szCs w:val="36"/>
        </w:rPr>
        <w:t>浏览器要求</w:t>
      </w:r>
    </w:p>
    <w:p w14:paraId="26E512FE" w14:textId="77777777" w:rsidR="001A1C28" w:rsidRDefault="00000000">
      <w:pPr>
        <w:snapToGrid w:val="0"/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推荐申报人员</w:t>
      </w:r>
      <w:proofErr w:type="gramStart"/>
      <w:r>
        <w:rPr>
          <w:rFonts w:ascii="仿宋_GB2312" w:eastAsia="仿宋_GB2312" w:hAnsi="仿宋_GB2312" w:cs="仿宋_GB2312" w:hint="eastAsia"/>
          <w:sz w:val="28"/>
          <w:szCs w:val="36"/>
        </w:rPr>
        <w:t>使用</w:t>
      </w:r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谷歌浏览器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28"/>
          <w:szCs w:val="36"/>
        </w:rPr>
        <w:t>。</w:t>
      </w:r>
    </w:p>
    <w:p w14:paraId="3D166EB8" w14:textId="77777777" w:rsidR="001A1C28" w:rsidRDefault="00000000">
      <w:pPr>
        <w:snapToGrid w:val="0"/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/>
          <w:sz w:val="28"/>
          <w:szCs w:val="36"/>
        </w:rPr>
        <w:t>如使用</w:t>
      </w:r>
      <w:r>
        <w:rPr>
          <w:rFonts w:ascii="仿宋_GB2312" w:eastAsia="仿宋_GB2312" w:hAnsi="仿宋_GB2312" w:cs="仿宋_GB2312" w:hint="eastAsia"/>
          <w:sz w:val="28"/>
          <w:szCs w:val="36"/>
        </w:rPr>
        <w:t>360浏览器</w:t>
      </w:r>
      <w:r>
        <w:rPr>
          <w:rFonts w:ascii="仿宋_GB2312" w:eastAsia="仿宋_GB2312" w:hAnsi="仿宋_GB2312" w:cs="仿宋_GB2312"/>
          <w:sz w:val="28"/>
          <w:szCs w:val="36"/>
        </w:rPr>
        <w:t>（最新版本）</w:t>
      </w:r>
      <w:r>
        <w:rPr>
          <w:rFonts w:ascii="仿宋_GB2312" w:eastAsia="仿宋_GB2312" w:hAnsi="仿宋_GB2312" w:cs="仿宋_GB2312" w:hint="eastAsia"/>
          <w:sz w:val="28"/>
          <w:szCs w:val="36"/>
        </w:rPr>
        <w:t>，点击地址栏后的</w:t>
      </w:r>
      <w:r>
        <w:rPr>
          <w:rFonts w:ascii="仿宋_GB2312" w:eastAsia="仿宋_GB2312" w:hAnsi="仿宋_GB2312" w:cs="仿宋_GB2312"/>
          <w:sz w:val="28"/>
          <w:szCs w:val="36"/>
        </w:rPr>
        <w:t>⚡</w:t>
      </w:r>
      <w:r>
        <w:rPr>
          <w:rFonts w:ascii="仿宋_GB2312" w:eastAsia="仿宋_GB2312" w:hAnsi="仿宋_GB2312" w:cs="仿宋_GB2312" w:hint="eastAsia"/>
          <w:sz w:val="28"/>
          <w:szCs w:val="36"/>
        </w:rPr>
        <w:t>图标，切换到</w:t>
      </w:r>
      <w:proofErr w:type="gramStart"/>
      <w:r>
        <w:rPr>
          <w:rFonts w:ascii="仿宋_GB2312" w:eastAsia="仿宋_GB2312" w:hAnsi="仿宋_GB2312" w:cs="仿宋_GB2312"/>
          <w:sz w:val="28"/>
          <w:szCs w:val="36"/>
        </w:rPr>
        <w:t>极</w:t>
      </w:r>
      <w:proofErr w:type="gramEnd"/>
      <w:r>
        <w:rPr>
          <w:rFonts w:ascii="仿宋_GB2312" w:eastAsia="仿宋_GB2312" w:hAnsi="仿宋_GB2312" w:cs="仿宋_GB2312"/>
          <w:sz w:val="28"/>
          <w:szCs w:val="36"/>
        </w:rPr>
        <w:t>速</w:t>
      </w:r>
      <w:r>
        <w:rPr>
          <w:rFonts w:ascii="仿宋_GB2312" w:eastAsia="仿宋_GB2312" w:hAnsi="仿宋_GB2312" w:cs="仿宋_GB2312" w:hint="eastAsia"/>
          <w:sz w:val="28"/>
          <w:szCs w:val="36"/>
        </w:rPr>
        <w:t>模式。</w:t>
      </w:r>
    </w:p>
    <w:p w14:paraId="20A25785" w14:textId="77777777" w:rsidR="001A1C28" w:rsidRDefault="00000000">
      <w:pPr>
        <w:snapToGrid w:val="0"/>
        <w:spacing w:line="440" w:lineRule="exact"/>
        <w:jc w:val="left"/>
      </w:pPr>
      <w:r>
        <w:rPr>
          <w:rFonts w:ascii="仿宋_GB2312" w:eastAsia="仿宋_GB2312" w:hAnsi="仿宋_GB2312" w:cs="仿宋_GB2312" w:hint="eastAsia"/>
          <w:sz w:val="28"/>
          <w:szCs w:val="36"/>
        </w:rPr>
        <w:t xml:space="preserve">    如</w:t>
      </w:r>
      <w:proofErr w:type="gramStart"/>
      <w:r>
        <w:rPr>
          <w:rFonts w:ascii="仿宋_GB2312" w:eastAsia="仿宋_GB2312" w:hAnsi="仿宋_GB2312" w:cs="仿宋_GB2312" w:hint="eastAsia"/>
          <w:sz w:val="28"/>
          <w:szCs w:val="36"/>
        </w:rPr>
        <w:t>使用搜狗高速</w:t>
      </w:r>
      <w:proofErr w:type="gramEnd"/>
      <w:r>
        <w:rPr>
          <w:rFonts w:ascii="仿宋_GB2312" w:eastAsia="仿宋_GB2312" w:hAnsi="仿宋_GB2312" w:cs="仿宋_GB2312" w:hint="eastAsia"/>
          <w:sz w:val="28"/>
          <w:szCs w:val="36"/>
        </w:rPr>
        <w:t>浏览器，请点击地址栏后</w:t>
      </w:r>
      <w:r>
        <w:rPr>
          <w:rFonts w:ascii="仿宋_GB2312" w:eastAsia="仿宋_GB2312" w:hAnsi="仿宋_GB2312" w:cs="仿宋_GB2312"/>
          <w:sz w:val="28"/>
          <w:szCs w:val="36"/>
        </w:rPr>
        <w:t>⚡</w:t>
      </w:r>
      <w:r>
        <w:rPr>
          <w:rFonts w:ascii="仿宋_GB2312" w:eastAsia="仿宋_GB2312" w:hAnsi="仿宋_GB2312" w:cs="仿宋_GB2312" w:hint="eastAsia"/>
          <w:sz w:val="28"/>
          <w:szCs w:val="36"/>
        </w:rPr>
        <w:t>图标，切换到</w:t>
      </w:r>
      <w:proofErr w:type="gramStart"/>
      <w:r>
        <w:rPr>
          <w:rFonts w:ascii="仿宋_GB2312" w:eastAsia="仿宋_GB2312" w:hAnsi="仿宋_GB2312" w:cs="仿宋_GB2312"/>
          <w:sz w:val="28"/>
          <w:szCs w:val="36"/>
        </w:rPr>
        <w:t>极</w:t>
      </w:r>
      <w:proofErr w:type="gramEnd"/>
      <w:r>
        <w:rPr>
          <w:rFonts w:ascii="仿宋_GB2312" w:eastAsia="仿宋_GB2312" w:hAnsi="仿宋_GB2312" w:cs="仿宋_GB2312" w:hint="eastAsia"/>
          <w:sz w:val="28"/>
          <w:szCs w:val="36"/>
        </w:rPr>
        <w:t>速模式。</w:t>
      </w:r>
    </w:p>
    <w:p w14:paraId="0F045885" w14:textId="77777777" w:rsidR="001A1C28" w:rsidRDefault="00000000">
      <w:pPr>
        <w:snapToGrid w:val="0"/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其他浏览器</w:t>
      </w:r>
      <w:r>
        <w:rPr>
          <w:rFonts w:ascii="仿宋_GB2312" w:eastAsia="仿宋_GB2312" w:hAnsi="仿宋_GB2312" w:cs="仿宋_GB2312"/>
          <w:sz w:val="28"/>
          <w:szCs w:val="36"/>
        </w:rPr>
        <w:t>的切换方式与上述切换方法大致</w:t>
      </w:r>
      <w:r>
        <w:rPr>
          <w:rFonts w:ascii="仿宋_GB2312" w:eastAsia="仿宋_GB2312" w:hAnsi="仿宋_GB2312" w:cs="仿宋_GB2312" w:hint="eastAsia"/>
          <w:sz w:val="28"/>
          <w:szCs w:val="36"/>
        </w:rPr>
        <w:t>相同</w:t>
      </w:r>
      <w:r>
        <w:rPr>
          <w:rFonts w:ascii="仿宋_GB2312" w:eastAsia="仿宋_GB2312" w:hAnsi="仿宋_GB2312" w:cs="仿宋_GB2312"/>
          <w:sz w:val="28"/>
          <w:szCs w:val="36"/>
        </w:rPr>
        <w:t>，位置一般都在</w:t>
      </w:r>
      <w:r>
        <w:rPr>
          <w:rFonts w:ascii="仿宋_GB2312" w:eastAsia="仿宋_GB2312" w:hAnsi="仿宋_GB2312" w:cs="仿宋_GB2312" w:hint="eastAsia"/>
          <w:sz w:val="28"/>
          <w:szCs w:val="36"/>
        </w:rPr>
        <w:t>浏览器地址栏</w:t>
      </w:r>
      <w:r>
        <w:rPr>
          <w:rFonts w:ascii="仿宋_GB2312" w:eastAsia="仿宋_GB2312" w:hAnsi="仿宋_GB2312" w:cs="仿宋_GB2312"/>
          <w:sz w:val="28"/>
          <w:szCs w:val="36"/>
        </w:rPr>
        <w:t>后，将</w:t>
      </w:r>
      <w:r>
        <w:rPr>
          <w:rFonts w:ascii="仿宋_GB2312" w:eastAsia="仿宋_GB2312" w:hAnsi="仿宋_GB2312" w:cs="仿宋_GB2312" w:hint="eastAsia"/>
          <w:sz w:val="28"/>
          <w:szCs w:val="36"/>
        </w:rPr>
        <w:t>“兼容</w:t>
      </w:r>
      <w:r>
        <w:rPr>
          <w:rFonts w:ascii="仿宋_GB2312" w:eastAsia="仿宋_GB2312" w:hAnsi="仿宋_GB2312" w:cs="仿宋_GB2312"/>
          <w:sz w:val="28"/>
          <w:szCs w:val="36"/>
        </w:rPr>
        <w:t>”</w:t>
      </w:r>
      <w:r>
        <w:rPr>
          <w:rFonts w:ascii="仿宋_GB2312" w:eastAsia="仿宋_GB2312" w:hAnsi="仿宋_GB2312" w:cs="仿宋_GB2312" w:hint="eastAsia"/>
          <w:sz w:val="28"/>
          <w:szCs w:val="36"/>
        </w:rPr>
        <w:t>模式</w:t>
      </w:r>
      <w:r>
        <w:rPr>
          <w:rFonts w:ascii="仿宋_GB2312" w:eastAsia="仿宋_GB2312" w:hAnsi="仿宋_GB2312" w:cs="仿宋_GB2312"/>
          <w:sz w:val="28"/>
          <w:szCs w:val="36"/>
        </w:rPr>
        <w:t>切换到“</w:t>
      </w:r>
      <w:r>
        <w:rPr>
          <w:rFonts w:ascii="仿宋_GB2312" w:eastAsia="仿宋_GB2312" w:hAnsi="仿宋_GB2312" w:cs="仿宋_GB2312" w:hint="eastAsia"/>
          <w:sz w:val="28"/>
          <w:szCs w:val="36"/>
        </w:rPr>
        <w:t>极</w:t>
      </w:r>
      <w:r>
        <w:rPr>
          <w:rFonts w:ascii="仿宋_GB2312" w:eastAsia="仿宋_GB2312" w:hAnsi="仿宋_GB2312" w:cs="仿宋_GB2312"/>
          <w:sz w:val="28"/>
          <w:szCs w:val="36"/>
        </w:rPr>
        <w:t>速”</w:t>
      </w:r>
      <w:r>
        <w:rPr>
          <w:rFonts w:ascii="仿宋_GB2312" w:eastAsia="仿宋_GB2312" w:hAnsi="仿宋_GB2312" w:cs="仿宋_GB2312" w:hint="eastAsia"/>
          <w:sz w:val="28"/>
          <w:szCs w:val="36"/>
        </w:rPr>
        <w:t>、</w:t>
      </w:r>
      <w:r>
        <w:rPr>
          <w:rFonts w:ascii="仿宋_GB2312" w:eastAsia="仿宋_GB2312" w:hAnsi="仿宋_GB2312" w:cs="仿宋_GB2312"/>
          <w:sz w:val="28"/>
          <w:szCs w:val="36"/>
        </w:rPr>
        <w:t>“</w:t>
      </w:r>
      <w:r>
        <w:rPr>
          <w:rFonts w:ascii="仿宋_GB2312" w:eastAsia="仿宋_GB2312" w:hAnsi="仿宋_GB2312" w:cs="仿宋_GB2312" w:hint="eastAsia"/>
          <w:sz w:val="28"/>
          <w:szCs w:val="36"/>
        </w:rPr>
        <w:t>高速</w:t>
      </w:r>
      <w:r>
        <w:rPr>
          <w:rFonts w:ascii="仿宋_GB2312" w:eastAsia="仿宋_GB2312" w:hAnsi="仿宋_GB2312" w:cs="仿宋_GB2312"/>
          <w:sz w:val="28"/>
          <w:szCs w:val="36"/>
        </w:rPr>
        <w:t>”</w:t>
      </w:r>
      <w:r>
        <w:rPr>
          <w:rFonts w:ascii="仿宋_GB2312" w:eastAsia="仿宋_GB2312" w:hAnsi="仿宋_GB2312" w:cs="仿宋_GB2312" w:hint="eastAsia"/>
          <w:sz w:val="28"/>
          <w:szCs w:val="36"/>
        </w:rPr>
        <w:t>等</w:t>
      </w:r>
      <w:r>
        <w:rPr>
          <w:rFonts w:ascii="仿宋_GB2312" w:eastAsia="仿宋_GB2312" w:hAnsi="仿宋_GB2312" w:cs="仿宋_GB2312"/>
          <w:sz w:val="28"/>
          <w:szCs w:val="36"/>
        </w:rPr>
        <w:t>即可。</w:t>
      </w:r>
    </w:p>
    <w:p w14:paraId="34C49992" w14:textId="77777777" w:rsidR="001A1C28" w:rsidRDefault="00000000">
      <w:pPr>
        <w:pStyle w:val="2"/>
        <w:numPr>
          <w:ilvl w:val="1"/>
          <w:numId w:val="0"/>
        </w:numPr>
        <w:snapToGrid w:val="0"/>
        <w:spacing w:after="0" w:line="44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2.登陆系统</w:t>
      </w:r>
    </w:p>
    <w:p w14:paraId="754432CE" w14:textId="77777777" w:rsidR="001A1C28" w:rsidRDefault="00000000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登陆“嘉兴学院首页”—“数据服务大厅（内网）”—“数据应用”（</w:t>
      </w:r>
      <w:proofErr w:type="gramStart"/>
      <w:r>
        <w:rPr>
          <w:rFonts w:ascii="仿宋_GB2312" w:eastAsia="仿宋_GB2312" w:hAnsi="仿宋_GB2312" w:cs="仿宋_GB2312" w:hint="eastAsia"/>
          <w:sz w:val="28"/>
          <w:szCs w:val="36"/>
        </w:rPr>
        <w:t>一</w:t>
      </w:r>
      <w:proofErr w:type="gramEnd"/>
      <w:r>
        <w:rPr>
          <w:rFonts w:ascii="仿宋_GB2312" w:eastAsia="仿宋_GB2312" w:hAnsi="仿宋_GB2312" w:cs="仿宋_GB2312" w:hint="eastAsia"/>
          <w:sz w:val="28"/>
          <w:szCs w:val="36"/>
        </w:rPr>
        <w:t>卡通账号和密码），点击页面中的“年度考核”，根据自身人员类型进行考核表的填写，如图1。</w:t>
      </w:r>
    </w:p>
    <w:p w14:paraId="545DEE96" w14:textId="77777777" w:rsidR="001A1C28" w:rsidRDefault="00000000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教学科研岗位人员分三个页面，分别为“年度小结”、“教学科研情况”、“考核评分”，完成“年度小结”、“教学科研情况”的填写。</w:t>
      </w:r>
    </w:p>
    <w:p w14:paraId="3296E41C" w14:textId="77777777" w:rsidR="001A1C28" w:rsidRDefault="00000000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管理及其他专技岗位、工勤技能岗位人员分两个页面，</w:t>
      </w:r>
      <w:r>
        <w:rPr>
          <w:rFonts w:ascii="仿宋_GB2312" w:eastAsia="仿宋_GB2312" w:hAnsi="仿宋_GB2312" w:cs="仿宋_GB2312"/>
          <w:sz w:val="28"/>
          <w:szCs w:val="36"/>
        </w:rPr>
        <w:t>分别为</w:t>
      </w:r>
      <w:r>
        <w:rPr>
          <w:rFonts w:ascii="仿宋_GB2312" w:eastAsia="仿宋_GB2312" w:hAnsi="仿宋_GB2312" w:cs="仿宋_GB2312" w:hint="eastAsia"/>
          <w:sz w:val="28"/>
          <w:szCs w:val="36"/>
        </w:rPr>
        <w:t>“年度小结”、“考核评分”，完成“年度小结”的填写。</w:t>
      </w:r>
    </w:p>
    <w:p w14:paraId="61B9C410" w14:textId="77777777" w:rsidR="001A1C28" w:rsidRDefault="00000000">
      <w:pPr>
        <w:spacing w:line="440" w:lineRule="exact"/>
        <w:ind w:firstLineChars="200" w:firstLine="56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填写完成，点击“提交”按钮。</w:t>
      </w:r>
    </w:p>
    <w:p w14:paraId="2EA37500" w14:textId="77777777" w:rsidR="001A1C28" w:rsidRDefault="00000000">
      <w:pPr>
        <w:spacing w:line="440" w:lineRule="exact"/>
        <w:ind w:firstLineChars="200" w:firstLine="420"/>
        <w:jc w:val="center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35865A1E" wp14:editId="7E3BFC1F">
            <wp:simplePos x="0" y="0"/>
            <wp:positionH relativeFrom="column">
              <wp:posOffset>15240</wp:posOffset>
            </wp:positionH>
            <wp:positionV relativeFrom="paragraph">
              <wp:posOffset>9525</wp:posOffset>
            </wp:positionV>
            <wp:extent cx="5781675" cy="1428750"/>
            <wp:effectExtent l="0" t="0" r="9525" b="0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r="6775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仿宋_GB2312" w:cs="仿宋_GB2312" w:hint="eastAsia"/>
          <w:szCs w:val="21"/>
        </w:rPr>
        <w:t xml:space="preserve">图1 </w:t>
      </w:r>
    </w:p>
    <w:p w14:paraId="4FCC5D03" w14:textId="77777777" w:rsidR="001A1C28" w:rsidRDefault="00000000">
      <w:pPr>
        <w:spacing w:line="44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36"/>
        </w:rPr>
        <w:t>回到人员类型主页面，进行下载打印（双面打印）,在纸质单上完成本人签名、考核评分的填写。</w:t>
      </w:r>
    </w:p>
    <w:p w14:paraId="6E191806" w14:textId="77777777" w:rsidR="001A1C28" w:rsidRDefault="001A1C28">
      <w:pPr>
        <w:jc w:val="left"/>
      </w:pPr>
    </w:p>
    <w:p w14:paraId="53BB9983" w14:textId="77777777" w:rsidR="001A1C28" w:rsidRDefault="00000000">
      <w:pPr>
        <w:ind w:firstLineChars="200" w:firstLine="562"/>
        <w:jc w:val="left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注意：</w:t>
      </w:r>
    </w:p>
    <w:p w14:paraId="5EFD0FD4" w14:textId="77777777" w:rsidR="001A1C28" w:rsidRDefault="00000000">
      <w:pPr>
        <w:ind w:firstLineChars="200" w:firstLine="562"/>
        <w:jc w:val="left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1.专任教师的教学科研情况填报范围为：2022年度教学情况、课题立项、论文发表；</w:t>
      </w:r>
    </w:p>
    <w:p w14:paraId="2D551EAB" w14:textId="77777777" w:rsidR="001A1C28" w:rsidRDefault="00000000">
      <w:pPr>
        <w:ind w:firstLineChars="200" w:firstLine="562"/>
        <w:jc w:val="left"/>
        <w:rPr>
          <w:rFonts w:ascii="仿宋" w:eastAsia="仿宋" w:hAnsi="仿宋" w:cs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2.科研分/教研分的计算以相关职能部门的数据为准。</w:t>
      </w:r>
    </w:p>
    <w:sectPr w:rsidR="001A1C28">
      <w:pgSz w:w="11906" w:h="16838"/>
      <w:pgMar w:top="1213" w:right="1519" w:bottom="1157" w:left="151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</w:lvl>
    <w:lvl w:ilvl="1">
      <w:start w:val="1"/>
      <w:numFmt w:val="decimal"/>
      <w:pStyle w:val="2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 w16cid:durableId="589777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DBhYmJlYzQ0MDQ5ODI3OGYzYmZjZWUwNjk1M2I1YmYifQ=="/>
  </w:docVars>
  <w:rsids>
    <w:rsidRoot w:val="31BF7E7E"/>
    <w:rsid w:val="BF7F319F"/>
    <w:rsid w:val="001A1C28"/>
    <w:rsid w:val="00751CFC"/>
    <w:rsid w:val="054F608B"/>
    <w:rsid w:val="0601274E"/>
    <w:rsid w:val="06872833"/>
    <w:rsid w:val="0F582B65"/>
    <w:rsid w:val="116A2A8D"/>
    <w:rsid w:val="11FE5E06"/>
    <w:rsid w:val="135B6882"/>
    <w:rsid w:val="13944560"/>
    <w:rsid w:val="148D11E2"/>
    <w:rsid w:val="183F00F4"/>
    <w:rsid w:val="1A143DBA"/>
    <w:rsid w:val="1EF85FC9"/>
    <w:rsid w:val="2413599F"/>
    <w:rsid w:val="260F7341"/>
    <w:rsid w:val="269C040C"/>
    <w:rsid w:val="2B8B25FF"/>
    <w:rsid w:val="2D3F189A"/>
    <w:rsid w:val="2E8F26C5"/>
    <w:rsid w:val="2EA84DA7"/>
    <w:rsid w:val="312608BD"/>
    <w:rsid w:val="31A73A1C"/>
    <w:rsid w:val="31BF7E7E"/>
    <w:rsid w:val="36C72B45"/>
    <w:rsid w:val="399032CA"/>
    <w:rsid w:val="3A2E4538"/>
    <w:rsid w:val="430B55AC"/>
    <w:rsid w:val="43B87E87"/>
    <w:rsid w:val="45731025"/>
    <w:rsid w:val="49934DB8"/>
    <w:rsid w:val="53A93521"/>
    <w:rsid w:val="54C06F51"/>
    <w:rsid w:val="596D4155"/>
    <w:rsid w:val="5DFC571E"/>
    <w:rsid w:val="604969D8"/>
    <w:rsid w:val="60837287"/>
    <w:rsid w:val="61AF3069"/>
    <w:rsid w:val="63694D23"/>
    <w:rsid w:val="650E4239"/>
    <w:rsid w:val="65FE72CF"/>
    <w:rsid w:val="66015984"/>
    <w:rsid w:val="6713634B"/>
    <w:rsid w:val="67E13EA3"/>
    <w:rsid w:val="692459E3"/>
    <w:rsid w:val="692636D4"/>
    <w:rsid w:val="699556F1"/>
    <w:rsid w:val="6B3149D9"/>
    <w:rsid w:val="6E5E7F34"/>
    <w:rsid w:val="7A4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B46DBA9"/>
  <w15:docId w15:val="{E8C8B83B-5029-4191-A24D-B0C48F802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小M</dc:creator>
  <cp:lastModifiedBy>jxxy</cp:lastModifiedBy>
  <cp:revision>2</cp:revision>
  <dcterms:created xsi:type="dcterms:W3CDTF">2022-12-16T00:35:00Z</dcterms:created>
  <dcterms:modified xsi:type="dcterms:W3CDTF">2022-12-16T00:35:00Z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  <property fmtid="{D5CDD505-2E9C-101B-9397-08002B2CF9AE}" pid="3" name="ICV">
    <vt:lpwstr>472CA0F68ED647CCB9AF54F10905E906</vt:lpwstr>
  </property>
</Properties>
</file>